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4779645</wp:posOffset>
            </wp:positionH>
            <wp:positionV relativeFrom="paragraph">
              <wp:posOffset>-238760</wp:posOffset>
            </wp:positionV>
            <wp:extent cx="1276985" cy="159575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color w:val="000080"/>
          <w:sz w:val="32"/>
          <w:szCs w:val="32"/>
        </w:rPr>
        <w:t>D</w:t>
      </w:r>
      <w:r>
        <w:rPr>
          <w:rFonts w:ascii="Arial" w:hAnsi="Arial"/>
          <w:b/>
          <w:bCs/>
          <w:color w:val="000080"/>
          <w:sz w:val="32"/>
          <w:szCs w:val="32"/>
        </w:rPr>
        <w:t>r. Margerith Bühringer</w:t>
      </w:r>
    </w:p>
    <w:p>
      <w:pPr>
        <w:pStyle w:val="Normal"/>
        <w:rPr>
          <w:b w:val="false"/>
          <w:b w:val="false"/>
          <w:bCs w:val="false"/>
          <w:color w:val="0099FF"/>
          <w:sz w:val="32"/>
          <w:szCs w:val="32"/>
          <w:u w:val="single"/>
        </w:rPr>
      </w:pPr>
      <w:r>
        <w:rPr>
          <w:rFonts w:ascii="Arial" w:hAnsi="Arial"/>
          <w:b w:val="false"/>
          <w:bCs w:val="false"/>
          <w:color w:val="0099FF"/>
          <w:sz w:val="32"/>
          <w:szCs w:val="32"/>
          <w:u w:val="single"/>
        </w:rPr>
        <w:t>FÄ für Orthopädie und orthop. Chirurgie</w:t>
      </w:r>
    </w:p>
    <w:p>
      <w:pPr>
        <w:pStyle w:val="Normal"/>
        <w:rPr>
          <w:b w:val="false"/>
          <w:b w:val="false"/>
          <w:bCs w:val="false"/>
          <w:color w:val="0099FF"/>
          <w:sz w:val="32"/>
          <w:szCs w:val="32"/>
        </w:rPr>
      </w:pPr>
      <w:r>
        <w:rPr>
          <w:rFonts w:ascii="Arial" w:hAnsi="Arial"/>
          <w:b w:val="false"/>
          <w:bCs w:val="false"/>
          <w:color w:val="0099FF"/>
          <w:sz w:val="32"/>
          <w:szCs w:val="32"/>
        </w:rPr>
        <w:t xml:space="preserve">                                    </w:t>
      </w:r>
      <w:r>
        <w:rPr>
          <w:rFonts w:ascii="Arial" w:hAnsi="Arial"/>
          <w:b w:val="false"/>
          <w:bCs w:val="false"/>
          <w:color w:val="000080"/>
          <w:sz w:val="32"/>
          <w:szCs w:val="32"/>
        </w:rPr>
        <w:t xml:space="preserve"> 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color w:val="000080"/>
          <w:sz w:val="24"/>
          <w:szCs w:val="24"/>
        </w:rPr>
        <w:t>Akupunktur</w:t>
      </w:r>
      <w:r>
        <w:rPr>
          <w:rFonts w:ascii="Arial" w:hAnsi="Arial"/>
          <w:b w:val="false"/>
          <w:bCs w:val="false"/>
          <w:color w:val="0099FF"/>
          <w:sz w:val="32"/>
          <w:szCs w:val="32"/>
        </w:rPr>
        <w:tab/>
        <w:tab/>
        <w:tab/>
        <w:tab/>
        <w:t xml:space="preserve">       </w:t>
      </w:r>
      <w:r>
        <w:rPr>
          <w:rFonts w:ascii="Arial" w:hAnsi="Arial"/>
          <w:b w:val="false"/>
          <w:bCs w:val="false"/>
          <w:color w:val="000080"/>
          <w:sz w:val="24"/>
          <w:szCs w:val="24"/>
        </w:rPr>
        <w:t xml:space="preserve"> Hauptplatz 19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color w:val="000080"/>
          <w:sz w:val="24"/>
          <w:szCs w:val="24"/>
        </w:rPr>
        <w:t>manuelle Medizin</w:t>
      </w:r>
      <w:r>
        <w:rPr>
          <w:rFonts w:ascii="Arial" w:hAnsi="Arial"/>
          <w:b w:val="false"/>
          <w:bCs w:val="false"/>
          <w:color w:val="000080"/>
          <w:sz w:val="32"/>
          <w:szCs w:val="32"/>
        </w:rPr>
        <w:tab/>
        <w:t xml:space="preserve">          </w:t>
      </w:r>
      <w:r>
        <w:rPr>
          <w:rFonts w:ascii="Arial" w:hAnsi="Arial"/>
          <w:b w:val="false"/>
          <w:bCs w:val="false"/>
          <w:color w:val="000080"/>
          <w:sz w:val="24"/>
          <w:szCs w:val="24"/>
        </w:rPr>
        <w:t xml:space="preserve"> A- 3340 Waidhofen/Ybbs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color w:val="000080"/>
          <w:sz w:val="24"/>
          <w:szCs w:val="24"/>
        </w:rPr>
        <w:t>orthomolekulare Medizin</w:t>
        <w:tab/>
        <w:t xml:space="preserve">              +43(0)7442 53625</w:t>
      </w:r>
      <w:r>
        <w:rPr>
          <w:rFonts w:ascii="Arial" w:hAnsi="Arial"/>
          <w:b w:val="false"/>
          <w:bCs w:val="false"/>
          <w:color w:val="000080"/>
          <w:sz w:val="32"/>
          <w:szCs w:val="32"/>
        </w:rPr>
        <w:tab/>
      </w:r>
    </w:p>
    <w:p>
      <w:pPr>
        <w:pStyle w:val="Normal"/>
        <w:rPr/>
      </w:pPr>
      <w:r>
        <w:rPr>
          <w:rFonts w:ascii="Arial" w:hAnsi="Arial"/>
          <w:b w:val="false"/>
          <w:bCs w:val="false"/>
          <w:color w:val="000080"/>
          <w:sz w:val="24"/>
          <w:szCs w:val="24"/>
        </w:rPr>
        <w:t xml:space="preserve">MayrPrevent                    </w:t>
        <w:tab/>
        <w:t xml:space="preserve">        m.buehringer@aon.at                      </w:t>
      </w:r>
    </w:p>
    <w:p>
      <w:pPr>
        <w:pStyle w:val="Normal"/>
        <w:rPr/>
      </w:pPr>
      <w:bookmarkStart w:id="0" w:name="__DdeLink__270_1178670466"/>
      <w:bookmarkEnd w:id="0"/>
      <w:r>
        <w:rPr>
          <w:rFonts w:ascii="Arial" w:hAnsi="Arial"/>
          <w:b w:val="false"/>
          <w:bCs w:val="false"/>
          <w:color w:val="000080"/>
          <w:sz w:val="24"/>
          <w:szCs w:val="24"/>
        </w:rPr>
        <w:t xml:space="preserve">                                           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</w:r>
    </w:p>
    <w:p>
      <w:pPr>
        <w:pStyle w:val="Normal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</w:r>
    </w:p>
    <w:p>
      <w:pPr>
        <w:pStyle w:val="Normal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Medizinische Leistungen MayrPrevent Kur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1) schriftliche Unterlagen zur 1 -wöchigen Vorkur, die vom Gast zuhause durchgeführt wird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2) </w:t>
      </w:r>
      <w:r>
        <w:rPr>
          <w:rFonts w:ascii="Arial" w:hAnsi="Arial"/>
          <w:sz w:val="28"/>
          <w:szCs w:val="28"/>
        </w:rPr>
        <w:t xml:space="preserve">umfassender </w:t>
      </w:r>
      <w:r>
        <w:rPr>
          <w:rFonts w:ascii="Arial" w:hAnsi="Arial"/>
          <w:sz w:val="28"/>
          <w:szCs w:val="28"/>
        </w:rPr>
        <w:t>Einführungsvortrag am Anreisetag über Kurablauf und FX Mayr Philosophie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3) ausführliche ärztliche  Untersuchung und individuelle Kurplanung, je nach Bedarf können Vitamine, Spurenelemente und Mineralstoffe in reiner, natürlicher Form verordnet werden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/>
      </w:pPr>
      <w:r>
        <w:rPr>
          <w:rFonts w:ascii="Arial" w:hAnsi="Arial"/>
          <w:sz w:val="28"/>
          <w:szCs w:val="28"/>
        </w:rPr>
        <w:t xml:space="preserve">4) jeden 2. Tag ärztliche Bauchbehandlung zur Anregung des Lymphflusses und Unterstützung der Entgiftung des Darmes, zusätzlich Arztgespräch </w:t>
      </w:r>
      <w:r>
        <w:rPr>
          <w:rFonts w:ascii="Arial" w:hAnsi="Arial"/>
          <w:sz w:val="28"/>
          <w:szCs w:val="28"/>
        </w:rPr>
        <w:t xml:space="preserve">über Kurbefindlichkeit 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5) Vortrag: FX Mayr für zu Hause (Wie erhalte ich die erlernte Ernährungsumstellung und bewahre meine neu gewonnene Vitalität und Gesundheit?)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/>
      </w:pPr>
      <w:r>
        <w:rPr>
          <w:rFonts w:ascii="Arial" w:hAnsi="Arial"/>
          <w:sz w:val="28"/>
          <w:szCs w:val="28"/>
        </w:rPr>
        <w:t xml:space="preserve">6) ausführliche Abschlussuntersuchung, Besprechung des Kurerfolges, Betreuung der 2-wöchigen Nachkur ( milde Ableitungsdiät), </w:t>
      </w:r>
      <w:r>
        <w:rPr>
          <w:rFonts w:ascii="Arial" w:hAnsi="Arial"/>
          <w:sz w:val="28"/>
          <w:szCs w:val="28"/>
        </w:rPr>
        <w:t>inkl. schriftlicher Unterlagen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/>
      </w:pPr>
      <w:r>
        <w:rPr>
          <w:rFonts w:ascii="Arial" w:hAnsi="Arial"/>
          <w:sz w:val="28"/>
          <w:szCs w:val="28"/>
        </w:rPr>
        <w:t>Kurpauschale med. Leistungen 650,00 €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de-A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de-AT" w:eastAsia="zh-CN" w:bidi="hi-IN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Application>LibreOffice/5.0.5.2$Windows_x86 LibreOffice_project/55b006a02d247b5f7215fc6ea0fde844b30035b3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2018-02-04T14:41:50Z</dcterms:created>
  <dc:language>de-AT</dc:language>
  <cp:lastPrinted>2018-02-08T18:25:45Z</cp:lastPrinted>
  <dcterms:modified xsi:type="dcterms:W3CDTF">2018-02-08T19:21:09Z</dcterms:modified>
  <cp:revision>7</cp:revision>
</cp:coreProperties>
</file>